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</w:t>
      </w:r>
      <w:r>
        <w:rPr>
          <w:rFonts w:hint="eastAsia" w:ascii="宋体" w:hAnsi="宋体" w:eastAsia="宋体" w:cs="宋体"/>
          <w:sz w:val="24"/>
          <w:szCs w:val="28"/>
          <w:lang w:eastAsia="zh-CN"/>
        </w:rPr>
        <w:t>惠州仲恺新业发展有限公司</w:t>
      </w:r>
      <w:bookmarkStart w:id="0" w:name="_GoBack"/>
      <w:bookmarkEnd w:id="0"/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非常荣幸参与《惠创未来城基础设施建设项目增容800kVA临时用电工程设计服务》项目的报价，我公司已充分了解项目情况，现报价如下：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2106"/>
        <w:gridCol w:w="955"/>
        <w:gridCol w:w="2253"/>
        <w:gridCol w:w="2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60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5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560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建安费估算</w:t>
            </w:r>
          </w:p>
        </w:tc>
        <w:tc>
          <w:tcPr>
            <w:tcW w:w="132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按《工程勘察设计收费标准》（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2002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年修订本）计算</w:t>
            </w:r>
          </w:p>
        </w:tc>
        <w:tc>
          <w:tcPr>
            <w:tcW w:w="132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0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235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惠创未来城基础设施建设项目增容800kVA临时用电工程设计服务</w:t>
            </w:r>
          </w:p>
        </w:tc>
        <w:tc>
          <w:tcPr>
            <w:tcW w:w="560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90.85万元</w:t>
            </w:r>
          </w:p>
        </w:tc>
        <w:tc>
          <w:tcPr>
            <w:tcW w:w="132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20000元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（已下浮20%）</w:t>
            </w:r>
          </w:p>
        </w:tc>
        <w:tc>
          <w:tcPr>
            <w:tcW w:w="132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注：1.本项目根据《工程勘察设计收费标准》（2002年修订本）进行报价，报价大于（含）20000元，为无效报价。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40" w:firstLineChars="200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2.本项目采用总价包干方式，包括但不限于基础资料收集、工程设计及成果打印等为完成本项目工程设计所支出的所有费用、利润及税金等。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032B62B4"/>
    <w:rsid w:val="032B62B4"/>
    <w:rsid w:val="32D4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2024-01-31T01:29:00Z</dcterms:created>
  <dc:creator>林漫婷</dc:creator>
  <cp:lastModifiedBy>林漫婷</cp:lastModifiedBy>
  <dcterms:modified xsi:type="dcterms:W3CDTF">2024-01-31T02:29:19Z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AF871B61471A45C0B36DD0536A596AC3_11</vt:lpwstr>
  </property>
</Properties>
</file>