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4"/>
          <w:szCs w:val="28"/>
          <w:lang w:eastAsia="zh-CN"/>
        </w:rPr>
      </w:pPr>
      <w:r>
        <w:rPr>
          <w:rFonts w:hint="eastAsia" w:ascii="宋体" w:hAnsi="宋体" w:eastAsia="宋体" w:cs="宋体"/>
          <w:sz w:val="24"/>
          <w:szCs w:val="28"/>
        </w:rPr>
        <w:t>致：</w:t>
      </w:r>
      <w:r>
        <w:rPr>
          <w:rFonts w:hint="eastAsia" w:ascii="宋体" w:hAnsi="宋体" w:eastAsia="宋体" w:cs="宋体"/>
          <w:sz w:val="24"/>
          <w:szCs w:val="28"/>
          <w:lang w:eastAsia="zh-CN"/>
        </w:rPr>
        <w:t>惠州市惠南产城发展有限公司</w:t>
      </w:r>
    </w:p>
    <w:p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</w:t>
      </w:r>
      <w:r>
        <w:rPr>
          <w:rFonts w:hint="eastAsia" w:ascii="宋体" w:hAnsi="宋体" w:eastAsia="宋体" w:cs="宋体"/>
          <w:sz w:val="24"/>
          <w:szCs w:val="28"/>
          <w:lang w:eastAsia="zh-CN"/>
        </w:rPr>
        <w:t>惠创未来城基础设施建设项目一期（北区）围蔽工程</w:t>
      </w:r>
      <w:r>
        <w:rPr>
          <w:rFonts w:hint="eastAsia" w:ascii="宋体" w:hAnsi="宋体" w:eastAsia="宋体" w:cs="宋体"/>
          <w:sz w:val="24"/>
          <w:szCs w:val="28"/>
        </w:rPr>
        <w:t>》项目的报价，我公司已充分了解项目情况，现报价如下：</w:t>
      </w:r>
    </w:p>
    <w:tbl>
      <w:tblPr>
        <w:tblStyle w:val="2"/>
        <w:tblW w:w="49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2497"/>
        <w:gridCol w:w="2367"/>
        <w:gridCol w:w="2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6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85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40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最高限价</w:t>
            </w:r>
          </w:p>
        </w:tc>
        <w:tc>
          <w:tcPr>
            <w:tcW w:w="153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本次报价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567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1485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惠创未来城基础设施建设项目一期（北区）围蔽工程</w:t>
            </w:r>
          </w:p>
        </w:tc>
        <w:tc>
          <w:tcPr>
            <w:tcW w:w="140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 w:val="0"/>
                <w:color w:val="000000"/>
                <w:kern w:val="0"/>
                <w:sz w:val="24"/>
                <w:szCs w:val="24"/>
                <w:u w:val="none"/>
              </w:rPr>
              <w:t>163057.65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元</w:t>
            </w:r>
          </w:p>
        </w:tc>
        <w:tc>
          <w:tcPr>
            <w:tcW w:w="1538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（下浮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XX%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</w:tbl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注：1.本项目结算时以实际工程量结合中标下浮率进行计算作为结算价，且结算价不超过</w:t>
      </w:r>
      <w:r>
        <w:rPr>
          <w:rFonts w:hint="eastAsia" w:ascii="宋体" w:hAnsi="宋体" w:eastAsia="宋体" w:cs="宋体"/>
          <w:sz w:val="22"/>
          <w:szCs w:val="21"/>
          <w:lang w:eastAsia="zh-CN"/>
        </w:rPr>
        <w:t>报</w:t>
      </w:r>
      <w:r>
        <w:rPr>
          <w:rFonts w:hint="eastAsia" w:ascii="宋体" w:hAnsi="宋体" w:eastAsia="宋体" w:cs="宋体"/>
          <w:sz w:val="22"/>
          <w:szCs w:val="21"/>
        </w:rPr>
        <w:t>价。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联系人：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联系电话：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地址：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邮箱：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</w:p>
    <w:p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报价人（盖章）：</w:t>
      </w:r>
    </w:p>
    <w:p>
      <w:pPr>
        <w:adjustRightInd w:val="0"/>
        <w:snapToGrid w:val="0"/>
        <w:spacing w:line="400" w:lineRule="exac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 xml:space="preserve">                                             日期：   年  月  日</w:t>
      </w:r>
    </w:p>
    <w:p>
      <w:pPr>
        <w:spacing w:line="400" w:lineRule="exact"/>
        <w:rPr>
          <w:rFonts w:ascii="宋体" w:hAnsi="宋体" w:eastAsia="宋体" w:cs="宋体"/>
          <w:sz w:val="22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ODU2NGFkMWUyYmU2YzQ5ZDViODczYjQyMDRlY2MifQ=="/>
  </w:docVars>
  <w:rsids>
    <w:rsidRoot w:val="438974B8"/>
    <w:rsid w:val="4389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仲恺高新技术开发区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2024-02-06T03:13:00Z</dcterms:created>
  <dc:creator>林漫婷</dc:creator>
  <cp:lastModifiedBy>林漫婷</cp:lastModifiedBy>
  <dcterms:modified xsi:type="dcterms:W3CDTF">2024-02-06T03:14:02Z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68CB5B094036499F89DCE875CF3D992B_11</vt:lpwstr>
  </property>
</Properties>
</file>