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非常荣幸参与《惠创未来城基础设施建设项目一期工程（北区）工程质量检测服务》项目的报价，我公司已充分了解项目情况，现报价如下：</w:t>
      </w:r>
    </w:p>
    <w:p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tbl>
      <w:tblPr>
        <w:tblStyle w:val="2"/>
        <w:tblW w:w="523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3117"/>
        <w:gridCol w:w="2612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44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464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最高限价</w:t>
            </w:r>
          </w:p>
        </w:tc>
        <w:tc>
          <w:tcPr>
            <w:tcW w:w="133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本次报价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</w:trPr>
        <w:tc>
          <w:tcPr>
            <w:tcW w:w="449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</w:t>
            </w:r>
          </w:p>
        </w:tc>
        <w:tc>
          <w:tcPr>
            <w:tcW w:w="174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惠创未来城基础设施建设项目一期工程（北区）工程质量检测服务</w:t>
            </w:r>
          </w:p>
        </w:tc>
        <w:tc>
          <w:tcPr>
            <w:tcW w:w="1464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70.40万元</w:t>
            </w:r>
          </w:p>
        </w:tc>
        <w:tc>
          <w:tcPr>
            <w:tcW w:w="1337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XX元</w:t>
            </w: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注：1.根据相关规范和质监部门的要求，在本项目实施过程中与项目有关的所有检测（含监测）内容均属于本次服务范围。</w:t>
      </w:r>
    </w:p>
    <w:p>
      <w:p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2.本项目按经审定的预算金额的1%，并结合市场下浮率进行报价。若报价大于（含）70.40万元的，为无效报价。</w:t>
      </w:r>
    </w:p>
    <w:p>
      <w:pPr>
        <w:numPr>
          <w:ilvl w:val="255"/>
          <w:numId w:val="0"/>
        </w:numPr>
        <w:adjustRightInd w:val="0"/>
        <w:snapToGrid w:val="0"/>
        <w:spacing w:line="400" w:lineRule="exact"/>
        <w:ind w:firstLine="440" w:firstLineChars="200"/>
        <w:jc w:val="lef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3.结算时根据实际发生的检测工作量、合同约定的检测项目服务单价进行计算作为结算价，且结算价不超过报价。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ODU2NGFkMWUyYmU2YzQ5ZDViODczYjQyMDRlY2MifQ=="/>
  </w:docVars>
  <w:rsids>
    <w:rsidRoot w:val="753355A2"/>
    <w:rsid w:val="7533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仲恺高新技术开发区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2024-03-06T09:24:00Z</dcterms:created>
  <dc:creator>林漫婷</dc:creator>
  <cp:lastModifiedBy>林漫婷</cp:lastModifiedBy>
  <dcterms:modified xsi:type="dcterms:W3CDTF">2024-03-06T09:25:10Z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30743BB744A8473ABBB777DA30CDD466_11</vt:lpwstr>
  </property>
</Properties>
</file>