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_GBK" w:hAnsi="方正小标宋_GBK" w:eastAsia="方正小标宋_GBK" w:cs="方正小标宋_GBK"/>
          <w:sz w:val="36"/>
          <w:szCs w:val="36"/>
          <w:lang w:val="en-US" w:eastAsia="zh-CN"/>
        </w:rPr>
      </w:pPr>
      <w:r>
        <w:rPr>
          <w:rFonts w:hint="eastAsia" w:ascii="方正小标宋_GBK" w:hAnsi="方正小标宋_GBK" w:eastAsia="方正小标宋_GBK" w:cs="方正小标宋_GBK"/>
          <w:sz w:val="36"/>
          <w:szCs w:val="36"/>
          <w:lang w:val="en-US" w:eastAsia="zh-CN"/>
        </w:rPr>
        <w:t>关于采购惠州仲恺新业发展有限公司</w:t>
      </w:r>
    </w:p>
    <w:p>
      <w:pPr>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2025年</w:t>
      </w:r>
      <w:r>
        <w:rPr>
          <w:rFonts w:hint="eastAsia" w:ascii="方正小标宋_GBK" w:hAnsi="方正小标宋_GBK" w:eastAsia="方正小标宋_GBK" w:cs="方正小标宋_GBK"/>
          <w:sz w:val="36"/>
          <w:szCs w:val="36"/>
          <w:lang w:val="en-US" w:eastAsia="zh-CN"/>
        </w:rPr>
        <w:t>财产险与公众责任险的方</w:t>
      </w:r>
      <w:r>
        <w:rPr>
          <w:rFonts w:hint="eastAsia" w:ascii="方正小标宋_GBK" w:hAnsi="方正小标宋_GBK" w:eastAsia="方正小标宋_GBK" w:cs="方正小标宋_GBK"/>
          <w:sz w:val="36"/>
          <w:szCs w:val="36"/>
        </w:rPr>
        <w:t>案</w:t>
      </w:r>
    </w:p>
    <w:p>
      <w:pPr>
        <w:jc w:val="center"/>
        <w:rPr>
          <w:rFonts w:hint="eastAsia" w:ascii="黑体" w:hAnsi="黑体" w:eastAsia="黑体" w:cs="黑体"/>
          <w:sz w:val="32"/>
          <w:szCs w:val="32"/>
        </w:rPr>
      </w:pPr>
    </w:p>
    <w:p>
      <w:pPr>
        <w:ind w:firstLine="640" w:firstLineChars="200"/>
        <w:rPr>
          <w:rFonts w:hint="eastAsia" w:ascii="黑体" w:hAnsi="黑体" w:eastAsia="黑体" w:cs="黑体"/>
          <w:sz w:val="32"/>
          <w:szCs w:val="32"/>
        </w:rPr>
      </w:pPr>
      <w:r>
        <w:rPr>
          <w:rFonts w:hint="eastAsia" w:ascii="黑体" w:hAnsi="黑体" w:eastAsia="黑体" w:cs="黑体"/>
          <w:sz w:val="32"/>
          <w:szCs w:val="32"/>
        </w:rPr>
        <w:t>一、项目基本信息</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lang w:val="en-US" w:eastAsia="zh-CN"/>
        </w:rPr>
        <w:t>项目名称：</w:t>
      </w:r>
      <w:r>
        <w:rPr>
          <w:rFonts w:hint="default" w:ascii="Times New Roman" w:hAnsi="Times New Roman" w:eastAsia="方正仿宋_GBK" w:cs="Times New Roman"/>
          <w:b w:val="0"/>
          <w:bCs w:val="0"/>
          <w:sz w:val="32"/>
          <w:szCs w:val="32"/>
          <w:lang w:val="en-US" w:eastAsia="zh-CN"/>
        </w:rPr>
        <w:t>惠泰路1号</w:t>
      </w:r>
      <w:r>
        <w:rPr>
          <w:rFonts w:hint="default" w:ascii="Times New Roman" w:hAnsi="Times New Roman" w:eastAsia="方正仿宋_GBK" w:cs="Times New Roman"/>
          <w:sz w:val="32"/>
          <w:szCs w:val="32"/>
          <w:lang w:val="en-US" w:eastAsia="zh-CN"/>
        </w:rPr>
        <w:t>惠创未来城</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lang w:val="en-US" w:eastAsia="zh-CN"/>
        </w:rPr>
        <w:t>项目运营单位：</w:t>
      </w:r>
      <w:r>
        <w:rPr>
          <w:rFonts w:hint="default" w:ascii="Times New Roman" w:hAnsi="Times New Roman" w:eastAsia="方正仿宋_GBK" w:cs="Times New Roman"/>
          <w:sz w:val="32"/>
          <w:szCs w:val="32"/>
          <w:lang w:val="en-US" w:eastAsia="zh-CN"/>
        </w:rPr>
        <w:t>惠州仲恺新业发展有限公司</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lang w:val="en-US" w:eastAsia="zh-CN"/>
        </w:rPr>
        <w:t>项目位置：</w:t>
      </w:r>
      <w:r>
        <w:rPr>
          <w:rFonts w:hint="default" w:ascii="Times New Roman" w:hAnsi="Times New Roman" w:eastAsia="方正仿宋_GBK" w:cs="Times New Roman"/>
          <w:sz w:val="32"/>
          <w:szCs w:val="32"/>
          <w:lang w:val="en-US" w:eastAsia="zh-CN"/>
        </w:rPr>
        <w:t>惠州市惠南高新科技产业园惠泰路1号</w:t>
      </w:r>
    </w:p>
    <w:p>
      <w:pPr>
        <w:ind w:firstLine="640" w:firstLineChars="200"/>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b/>
          <w:bCs/>
          <w:sz w:val="32"/>
          <w:szCs w:val="32"/>
          <w:lang w:val="en-US" w:eastAsia="zh-CN"/>
        </w:rPr>
        <w:t>项目概况：</w:t>
      </w:r>
      <w:r>
        <w:rPr>
          <w:rFonts w:hint="default" w:ascii="Times New Roman" w:hAnsi="Times New Roman" w:eastAsia="方正仿宋_GBK" w:cs="Times New Roman"/>
          <w:sz w:val="32"/>
          <w:szCs w:val="32"/>
          <w:lang w:val="en-US" w:eastAsia="zh-CN"/>
        </w:rPr>
        <w:t>厂区宗地面积</w:t>
      </w:r>
      <w:r>
        <w:rPr>
          <w:rFonts w:hint="eastAsia" w:ascii="Times New Roman" w:hAnsi="Times New Roman" w:eastAsia="方正仿宋_GBK" w:cs="Times New Roman"/>
          <w:color w:val="auto"/>
          <w:sz w:val="32"/>
          <w:szCs w:val="32"/>
          <w:lang w:val="en-US" w:eastAsia="zh-CN"/>
        </w:rPr>
        <w:t>284198</w:t>
      </w:r>
      <w:r>
        <w:rPr>
          <w:rFonts w:hint="default" w:ascii="Times New Roman" w:hAnsi="Times New Roman" w:eastAsia="方正仿宋_GBK" w:cs="Times New Roman"/>
          <w:color w:val="auto"/>
          <w:sz w:val="32"/>
          <w:szCs w:val="32"/>
          <w:lang w:val="en-US" w:eastAsia="zh-CN"/>
        </w:rPr>
        <w:t>平方米，现有厂房、仓库、附属栋等建筑，总建筑面积为</w:t>
      </w:r>
      <w:r>
        <w:rPr>
          <w:rFonts w:hint="eastAsia" w:ascii="Times New Roman" w:hAnsi="Times New Roman" w:eastAsia="方正仿宋_GBK" w:cs="Times New Roman"/>
          <w:color w:val="auto"/>
          <w:sz w:val="32"/>
          <w:szCs w:val="32"/>
          <w:lang w:val="en-US" w:eastAsia="zh-CN"/>
        </w:rPr>
        <w:t>145858.74</w:t>
      </w:r>
      <w:r>
        <w:rPr>
          <w:rFonts w:hint="default" w:ascii="Times New Roman" w:hAnsi="Times New Roman" w:eastAsia="方正仿宋_GBK" w:cs="Times New Roman"/>
          <w:color w:val="auto"/>
          <w:sz w:val="32"/>
          <w:szCs w:val="32"/>
          <w:lang w:val="en-US" w:eastAsia="zh-CN"/>
        </w:rPr>
        <w:t>平方米，其</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中可出租厂房、仓库面</w:t>
      </w:r>
      <w:r>
        <w:rPr>
          <w:rFonts w:hint="default" w:ascii="Times New Roman" w:hAnsi="Times New Roman" w:eastAsia="方正仿宋_GBK" w:cs="Times New Roman"/>
          <w:color w:val="000000" w:themeColor="text1"/>
          <w:sz w:val="32"/>
          <w:szCs w:val="32"/>
          <w:highlight w:val="none"/>
          <w:lang w:val="en-US" w:eastAsia="zh-CN"/>
          <w14:textFill>
            <w14:solidFill>
              <w14:schemeClr w14:val="tx1"/>
            </w14:solidFill>
          </w14:textFill>
        </w:rPr>
        <w:t>积</w:t>
      </w:r>
      <w:r>
        <w:rPr>
          <w:rFonts w:hint="eastAsia" w:ascii="Times New Roman" w:hAnsi="Times New Roman" w:eastAsia="方正仿宋_GBK" w:cs="Times New Roman"/>
          <w:color w:val="000000" w:themeColor="text1"/>
          <w:sz w:val="32"/>
          <w:szCs w:val="32"/>
          <w:highlight w:val="none"/>
          <w:lang w:val="en-US" w:eastAsia="zh-CN"/>
          <w14:textFill>
            <w14:solidFill>
              <w14:schemeClr w14:val="tx1"/>
            </w14:solidFill>
          </w14:textFill>
        </w:rPr>
        <w:t>12.17</w:t>
      </w:r>
      <w:r>
        <w:rPr>
          <w:rFonts w:hint="default" w:ascii="Times New Roman" w:hAnsi="Times New Roman" w:eastAsia="方正仿宋_GBK" w:cs="Times New Roman"/>
          <w:color w:val="000000" w:themeColor="text1"/>
          <w:sz w:val="32"/>
          <w:szCs w:val="32"/>
          <w:highlight w:val="none"/>
          <w:lang w:val="en-US" w:eastAsia="zh-CN"/>
          <w14:textFill>
            <w14:solidFill>
              <w14:schemeClr w14:val="tx1"/>
            </w14:solidFill>
          </w14:textFill>
        </w:rPr>
        <w:t>万平方米。</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项目内正在进行一期项目的开发建设，后期将根据招商进度新增项目的开发建设。</w:t>
      </w:r>
    </w:p>
    <w:p>
      <w:pPr>
        <w:ind w:firstLine="640" w:firstLineChars="200"/>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二、保险需求</w:t>
      </w:r>
    </w:p>
    <w:p>
      <w:pPr>
        <w:ind w:firstLine="643" w:firstLineChars="200"/>
        <w:rPr>
          <w:rFonts w:hint="eastAsia" w:ascii="楷体" w:hAnsi="楷体" w:eastAsia="楷体" w:cs="楷体"/>
          <w:b/>
          <w:bCs/>
          <w:color w:val="000000" w:themeColor="text1"/>
          <w:sz w:val="32"/>
          <w:szCs w:val="32"/>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（一）厂房、仓库财产安全保险</w:t>
      </w:r>
    </w:p>
    <w:p>
      <w:pPr>
        <w:ind w:firstLine="640" w:firstLineChars="200"/>
        <w:rPr>
          <w:rFonts w:hint="default" w:ascii="Times New Roman" w:hAnsi="Times New Roman" w:eastAsia="方正仿宋_GBK" w:cs="Times New Roman"/>
          <w:color w:val="000000" w:themeColor="text1"/>
          <w:sz w:val="32"/>
          <w:szCs w:val="32"/>
          <w:highlight w:val="none"/>
          <w14:textFill>
            <w14:solidFill>
              <w14:schemeClr w14:val="tx1"/>
            </w14:solidFill>
          </w14:textFill>
        </w:rPr>
      </w:pPr>
      <w:r>
        <w:rPr>
          <w:rFonts w:hint="default" w:ascii="Times New Roman" w:hAnsi="Times New Roman" w:eastAsia="方正仿宋_GBK" w:cs="Times New Roman"/>
          <w:b/>
          <w:bCs/>
          <w:color w:val="000000" w:themeColor="text1"/>
          <w:sz w:val="32"/>
          <w:szCs w:val="32"/>
          <w:lang w:val="en-US" w:eastAsia="zh-CN"/>
          <w14:textFill>
            <w14:solidFill>
              <w14:schemeClr w14:val="tx1"/>
            </w14:solidFill>
          </w14:textFill>
        </w:rPr>
        <w:t>保险金额：</w:t>
      </w:r>
      <w:r>
        <w:rPr>
          <w:rFonts w:hint="default" w:ascii="Times New Roman" w:hAnsi="Times New Roman" w:eastAsia="方正仿宋_GBK" w:cs="Times New Roman"/>
          <w:color w:val="000000" w:themeColor="text1"/>
          <w:sz w:val="32"/>
          <w:szCs w:val="32"/>
          <w:highlight w:val="none"/>
          <w:lang w:val="en-US" w:eastAsia="zh-CN"/>
          <w14:textFill>
            <w14:solidFill>
              <w14:schemeClr w14:val="tx1"/>
            </w14:solidFill>
          </w14:textFill>
        </w:rPr>
        <w:t>3000万元</w:t>
      </w:r>
    </w:p>
    <w:p>
      <w:pPr>
        <w:ind w:firstLine="640" w:firstLineChars="200"/>
        <w:rPr>
          <w:rFonts w:hint="default" w:ascii="Times New Roman" w:hAnsi="Times New Roman" w:eastAsia="方正仿宋_GBK" w:cs="Times New Roman"/>
          <w:color w:val="000000" w:themeColor="text1"/>
          <w:sz w:val="32"/>
          <w:szCs w:val="32"/>
          <w:highlight w:val="none"/>
          <w14:textFill>
            <w14:solidFill>
              <w14:schemeClr w14:val="tx1"/>
            </w14:solidFill>
          </w14:textFill>
        </w:rPr>
      </w:pPr>
      <w:r>
        <w:rPr>
          <w:rFonts w:hint="default" w:ascii="Times New Roman" w:hAnsi="Times New Roman" w:eastAsia="方正仿宋_GBK" w:cs="Times New Roman"/>
          <w:b/>
          <w:bCs/>
          <w:color w:val="000000" w:themeColor="text1"/>
          <w:sz w:val="32"/>
          <w:szCs w:val="32"/>
          <w:highlight w:val="none"/>
          <w:lang w:val="en-US" w:eastAsia="zh-CN"/>
          <w14:textFill>
            <w14:solidFill>
              <w14:schemeClr w14:val="tx1"/>
            </w14:solidFill>
          </w14:textFill>
        </w:rPr>
        <w:t>保险范围：</w:t>
      </w:r>
      <w:r>
        <w:rPr>
          <w:rFonts w:hint="default" w:ascii="Times New Roman" w:hAnsi="Times New Roman" w:eastAsia="方正仿宋_GBK" w:cs="Times New Roman"/>
          <w:color w:val="000000" w:themeColor="text1"/>
          <w:sz w:val="32"/>
          <w:szCs w:val="32"/>
          <w:highlight w:val="none"/>
          <w:lang w:val="en-US" w:eastAsia="zh-CN"/>
          <w14:textFill>
            <w14:solidFill>
              <w14:schemeClr w14:val="tx1"/>
            </w14:solidFill>
          </w14:textFill>
        </w:rPr>
        <w:t>对现有厂房、仓库以及后续开发建设的厂房、仓库的建筑物本身及其内部设备、原材料、成品等财产进行保障，覆盖因火灾、爆炸、自然灾害（如暴雨、洪水、台风、雷击等）、意外事故等导致的直接物质损失和合理的施救费用。</w:t>
      </w:r>
    </w:p>
    <w:p>
      <w:pPr>
        <w:ind w:firstLine="643" w:firstLineChars="200"/>
        <w:rPr>
          <w:rFonts w:hint="default" w:ascii="楷体" w:hAnsi="楷体" w:eastAsia="楷体" w:cs="楷体"/>
          <w:b/>
          <w:bCs/>
          <w:color w:val="000000" w:themeColor="text1"/>
          <w:sz w:val="32"/>
          <w:szCs w:val="32"/>
          <w:highlight w:val="none"/>
          <w:lang w:val="en-US" w:eastAsia="zh-CN"/>
          <w14:textFill>
            <w14:solidFill>
              <w14:schemeClr w14:val="tx1"/>
            </w14:solidFill>
          </w14:textFill>
        </w:rPr>
      </w:pPr>
      <w:r>
        <w:rPr>
          <w:rFonts w:hint="eastAsia" w:ascii="楷体" w:hAnsi="楷体" w:eastAsia="楷体" w:cs="楷体"/>
          <w:b/>
          <w:bCs/>
          <w:color w:val="000000" w:themeColor="text1"/>
          <w:sz w:val="32"/>
          <w:szCs w:val="32"/>
          <w:highlight w:val="none"/>
          <w:lang w:val="en-US" w:eastAsia="zh-CN"/>
          <w14:textFill>
            <w14:solidFill>
              <w14:schemeClr w14:val="tx1"/>
            </w14:solidFill>
          </w14:textFill>
        </w:rPr>
        <w:t>（二）公众责任险</w:t>
      </w:r>
    </w:p>
    <w:p>
      <w:pPr>
        <w:ind w:firstLine="640" w:firstLineChars="200"/>
        <w:rPr>
          <w:rFonts w:hint="default" w:ascii="Times New Roman" w:hAnsi="Times New Roman" w:eastAsia="方正仿宋_GBK" w:cs="Times New Roman"/>
          <w:color w:val="000000" w:themeColor="text1"/>
          <w:sz w:val="32"/>
          <w:szCs w:val="32"/>
          <w:highlight w:val="none"/>
          <w14:textFill>
            <w14:solidFill>
              <w14:schemeClr w14:val="tx1"/>
            </w14:solidFill>
          </w14:textFill>
        </w:rPr>
      </w:pPr>
      <w:r>
        <w:rPr>
          <w:rFonts w:hint="default" w:ascii="Times New Roman" w:hAnsi="Times New Roman" w:eastAsia="方正仿宋_GBK" w:cs="Times New Roman"/>
          <w:b/>
          <w:bCs/>
          <w:color w:val="000000" w:themeColor="text1"/>
          <w:sz w:val="32"/>
          <w:szCs w:val="32"/>
          <w:highlight w:val="none"/>
          <w:lang w:val="en-US" w:eastAsia="zh-CN"/>
          <w14:textFill>
            <w14:solidFill>
              <w14:schemeClr w14:val="tx1"/>
            </w14:solidFill>
          </w14:textFill>
        </w:rPr>
        <w:t>保险金额：</w:t>
      </w:r>
      <w:r>
        <w:rPr>
          <w:rFonts w:hint="default" w:ascii="Times New Roman" w:hAnsi="Times New Roman" w:eastAsia="方正仿宋_GBK" w:cs="Times New Roman"/>
          <w:color w:val="000000" w:themeColor="text1"/>
          <w:sz w:val="32"/>
          <w:szCs w:val="32"/>
          <w:highlight w:val="none"/>
          <w:lang w:val="en-US" w:eastAsia="zh-CN"/>
          <w14:textFill>
            <w14:solidFill>
              <w14:schemeClr w14:val="tx1"/>
            </w14:solidFill>
          </w14:textFill>
        </w:rPr>
        <w:t>800万元</w:t>
      </w:r>
    </w:p>
    <w:p>
      <w:pPr>
        <w:ind w:firstLine="640" w:firstLineChars="200"/>
        <w:rPr>
          <w:rFonts w:hint="eastAsia" w:ascii="楷体" w:hAnsi="楷体" w:eastAsia="楷体" w:cs="楷体"/>
          <w:b/>
          <w:bCs/>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b/>
          <w:bCs/>
          <w:color w:val="000000" w:themeColor="text1"/>
          <w:sz w:val="32"/>
          <w:szCs w:val="32"/>
          <w:lang w:val="en-US" w:eastAsia="zh-CN"/>
          <w14:textFill>
            <w14:solidFill>
              <w14:schemeClr w14:val="tx1"/>
            </w14:solidFill>
          </w14:textFill>
        </w:rPr>
        <w:t>保险范围：</w:t>
      </w:r>
    </w:p>
    <w:p>
      <w:pPr>
        <w:ind w:firstLine="640" w:firstLineChars="200"/>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b/>
          <w:bCs/>
          <w:color w:val="000000" w:themeColor="text1"/>
          <w:sz w:val="32"/>
          <w:szCs w:val="32"/>
          <w:lang w:val="en-US" w:eastAsia="zh-CN"/>
          <w14:textFill>
            <w14:solidFill>
              <w14:schemeClr w14:val="tx1"/>
            </w14:solidFill>
          </w14:textFill>
        </w:rPr>
        <w:t>1、人员人身安全保险</w:t>
      </w: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为出入本厂区内</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（含停车场）</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所有人员（包括但不限于公司员工、租户员工、访客等）提供人身安全保障，涵盖因在厂区内发生的意外事故（如高处坠落、物体打击、机械伤害、触电等）导致的死亡、伤残、医疗费用支出等责任。</w:t>
      </w:r>
    </w:p>
    <w:p>
      <w:pPr>
        <w:ind w:firstLine="640" w:firstLineChars="200"/>
        <w:rPr>
          <w:rFonts w:hint="eastAsia" w:ascii="Times New Roman" w:hAnsi="Times New Roman" w:eastAsia="方正仿宋_GBK" w:cs="Times New Roman"/>
          <w:b w:val="0"/>
          <w:bCs w:val="0"/>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b/>
          <w:bCs/>
          <w:color w:val="000000" w:themeColor="text1"/>
          <w:sz w:val="32"/>
          <w:szCs w:val="32"/>
          <w:lang w:val="en-US" w:eastAsia="zh-CN"/>
          <w14:textFill>
            <w14:solidFill>
              <w14:schemeClr w14:val="tx1"/>
            </w14:solidFill>
          </w14:textFill>
        </w:rPr>
        <w:t>2、入驻企业财产安全保险</w:t>
      </w:r>
      <w:r>
        <w:rPr>
          <w:rFonts w:hint="eastAsia" w:ascii="Times New Roman" w:hAnsi="Times New Roman" w:eastAsia="方正仿宋_GBK" w:cs="Times New Roman"/>
          <w:b w:val="0"/>
          <w:bCs w:val="0"/>
          <w:color w:val="000000" w:themeColor="text1"/>
          <w:sz w:val="32"/>
          <w:szCs w:val="32"/>
          <w:lang w:val="en-US" w:eastAsia="zh-CN"/>
          <w14:textFill>
            <w14:solidFill>
              <w14:schemeClr w14:val="tx1"/>
            </w14:solidFill>
          </w14:textFill>
        </w:rPr>
        <w:t>：</w:t>
      </w:r>
    </w:p>
    <w:p>
      <w:pPr>
        <w:ind w:firstLine="640" w:firstLineChars="200"/>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eastAsia" w:ascii="Times New Roman" w:hAnsi="Times New Roman" w:eastAsia="方正仿宋_GBK" w:cs="Times New Roman"/>
          <w:b w:val="0"/>
          <w:bCs w:val="0"/>
          <w:color w:val="000000" w:themeColor="text1"/>
          <w:sz w:val="32"/>
          <w:szCs w:val="32"/>
          <w:lang w:val="en-US" w:eastAsia="zh-CN"/>
          <w14:textFill>
            <w14:solidFill>
              <w14:schemeClr w14:val="tx1"/>
            </w14:solidFill>
          </w14:textFill>
        </w:rPr>
        <w:t>（1）</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针对本厂区内入驻企业的财产（包括机器设备、存货、办公用品等）提供保险保障，保障因上述</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财产</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保险责任范围内的事故导致入驻企业财产的损失</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w:t>
      </w:r>
    </w:p>
    <w:p>
      <w:pPr>
        <w:ind w:firstLine="640" w:firstLineChars="200"/>
        <w:rPr>
          <w:rFonts w:hint="default" w:ascii="Times New Roman" w:hAnsi="Times New Roman" w:eastAsia="方正仿宋_GBK" w:cs="Times New Roman"/>
          <w:color w:val="000000" w:themeColor="text1"/>
          <w:sz w:val="32"/>
          <w:szCs w:val="32"/>
          <w:lang w:val="en-US"/>
          <w14:textFill>
            <w14:solidFill>
              <w14:schemeClr w14:val="tx1"/>
            </w14:solidFill>
          </w14:textFill>
        </w:rPr>
      </w:pP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（2）针对本厂区内入驻企业的财产</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（包括机器设备、存货、办公用品等）</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，因暴雨导致雨水进入入驻企业承租区域指示入驻企业财产遭到雨水淋湿、浸泡而造成的损失提供保险保障。</w:t>
      </w:r>
    </w:p>
    <w:p>
      <w:pPr>
        <w:ind w:firstLine="640" w:firstLineChars="200"/>
        <w:rPr>
          <w:rFonts w:hint="default"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b/>
          <w:bCs/>
          <w:color w:val="000000" w:themeColor="text1"/>
          <w:sz w:val="32"/>
          <w:szCs w:val="32"/>
          <w:lang w:val="en-US" w:eastAsia="zh-CN"/>
          <w14:textFill>
            <w14:solidFill>
              <w14:schemeClr w14:val="tx1"/>
            </w14:solidFill>
          </w14:textFill>
        </w:rPr>
        <w:t>3、车辆意外事故保险：</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对因</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停放在</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厂区内</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（含停车区域）的车辆</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发生意外事故导致第三方</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的</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财产损失的赔偿责任进行保障，例如车辆在停车场内受损（如碰撞、刮擦、火灾、自然灾害等）等情况。</w:t>
      </w:r>
    </w:p>
    <w:p>
      <w:pPr>
        <w:ind w:firstLine="640" w:firstLineChars="200"/>
        <w:rPr>
          <w:rFonts w:hint="eastAsia" w:ascii="方正黑体_GBK" w:hAnsi="方正黑体_GBK" w:eastAsia="方正黑体_GBK" w:cs="方正黑体_GBK"/>
          <w:color w:val="000000" w:themeColor="text1"/>
          <w:sz w:val="32"/>
          <w:szCs w:val="32"/>
          <w14:textFill>
            <w14:solidFill>
              <w14:schemeClr w14:val="tx1"/>
            </w14:solidFill>
          </w14:textFill>
        </w:rPr>
      </w:pPr>
      <w:r>
        <w:rPr>
          <w:rFonts w:hint="eastAsia" w:ascii="方正黑体_GBK" w:hAnsi="方正黑体_GBK" w:eastAsia="方正黑体_GBK" w:cs="方正黑体_GBK"/>
          <w:color w:val="000000" w:themeColor="text1"/>
          <w:sz w:val="32"/>
          <w:szCs w:val="32"/>
          <w14:textFill>
            <w14:solidFill>
              <w14:schemeClr w14:val="tx1"/>
            </w14:solidFill>
          </w14:textFill>
        </w:rPr>
        <w:t>三、保险方案设计要求</w:t>
      </w:r>
    </w:p>
    <w:p>
      <w:pPr>
        <w:ind w:firstLine="640" w:firstLineChars="200"/>
        <w:rPr>
          <w:rFonts w:hint="default" w:ascii="Times New Roman" w:hAnsi="Times New Roman" w:eastAsia="方正仿宋_GBK" w:cs="Times New Roman"/>
          <w:b/>
          <w:bCs/>
          <w:color w:val="000000" w:themeColor="text1"/>
          <w:sz w:val="32"/>
          <w:szCs w:val="32"/>
          <w14:textFill>
            <w14:solidFill>
              <w14:schemeClr w14:val="tx1"/>
            </w14:solidFill>
          </w14:textFill>
        </w:rPr>
      </w:pPr>
      <w:r>
        <w:rPr>
          <w:rFonts w:hint="default" w:ascii="Times New Roman" w:hAnsi="Times New Roman" w:eastAsia="方正仿宋_GBK" w:cs="Times New Roman"/>
          <w:b/>
          <w:bCs/>
          <w:color w:val="000000" w:themeColor="text1"/>
          <w:sz w:val="32"/>
          <w:szCs w:val="32"/>
          <w:lang w:val="en-US" w:eastAsia="zh-CN"/>
          <w14:textFill>
            <w14:solidFill>
              <w14:schemeClr w14:val="tx1"/>
            </w14:solidFill>
          </w14:textFill>
        </w:rPr>
        <w:t>（一）保险条款</w:t>
      </w:r>
    </w:p>
    <w:p>
      <w:pPr>
        <w:ind w:firstLine="640" w:firstLineChars="200"/>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1</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保险条款应明确保险责任范围、责任免除、赔偿限额、赔偿处理方式等内容，确保条款清晰、合理、符合项目实际需求。</w:t>
      </w:r>
    </w:p>
    <w:p>
      <w:pPr>
        <w:ind w:firstLine="640" w:firstLineChars="200"/>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2</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鉴于今年已计划启动停车场项目对外运营及使用，应在保险条款中特别注明其保障范围，明确停车场内车辆停放期间可能面临的风险（如碰撞、刮擦、火灾、自然灾害等）以及保险公司的赔偿责任。</w:t>
      </w:r>
    </w:p>
    <w:p>
      <w:pPr>
        <w:ind w:firstLine="640" w:firstLineChars="200"/>
        <w:rPr>
          <w:rFonts w:hint="default" w:ascii="Times New Roman" w:hAnsi="Times New Roman" w:eastAsia="方正仿宋_GBK" w:cs="Times New Roman"/>
          <w:b/>
          <w:bCs/>
          <w:color w:val="000000" w:themeColor="text1"/>
          <w:sz w:val="32"/>
          <w:szCs w:val="32"/>
          <w14:textFill>
            <w14:solidFill>
              <w14:schemeClr w14:val="tx1"/>
            </w14:solidFill>
          </w14:textFill>
        </w:rPr>
      </w:pPr>
      <w:r>
        <w:rPr>
          <w:rFonts w:hint="default" w:ascii="Times New Roman" w:hAnsi="Times New Roman" w:eastAsia="方正仿宋_GBK" w:cs="Times New Roman"/>
          <w:b/>
          <w:bCs/>
          <w:color w:val="000000" w:themeColor="text1"/>
          <w:sz w:val="32"/>
          <w:szCs w:val="32"/>
          <w:lang w:val="en-US" w:eastAsia="zh-CN"/>
          <w14:textFill>
            <w14:solidFill>
              <w14:schemeClr w14:val="tx1"/>
            </w14:solidFill>
          </w14:textFill>
        </w:rPr>
        <w:t>（二）保险费率</w:t>
      </w:r>
    </w:p>
    <w:p>
      <w:pPr>
        <w:ind w:firstLine="640" w:firstLineChars="200"/>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1</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根据项目的风险状况、历史赔付记录、保险市场竞争情况等因素，合理确定保险费率，确保保险费用在预算范围内，同时保障保险的充分性和有效性。</w:t>
      </w:r>
    </w:p>
    <w:p>
      <w:pPr>
        <w:ind w:firstLine="640" w:firstLineChars="200"/>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2</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考虑到停车场区域的风险特点，需与保险公司协商确定合理的附加费率，以覆盖停车场项目运营的保险成本。</w:t>
      </w:r>
    </w:p>
    <w:p>
      <w:pPr>
        <w:ind w:firstLine="640" w:firstLineChars="200"/>
        <w:rPr>
          <w:rFonts w:hint="default" w:ascii="Times New Roman" w:hAnsi="Times New Roman" w:eastAsia="方正仿宋_GBK" w:cs="Times New Roman"/>
          <w:b/>
          <w:bCs/>
          <w:color w:val="000000" w:themeColor="text1"/>
          <w:sz w:val="32"/>
          <w:szCs w:val="32"/>
          <w14:textFill>
            <w14:solidFill>
              <w14:schemeClr w14:val="tx1"/>
            </w14:solidFill>
          </w14:textFill>
        </w:rPr>
      </w:pPr>
      <w:r>
        <w:rPr>
          <w:rFonts w:hint="default" w:ascii="Times New Roman" w:hAnsi="Times New Roman" w:eastAsia="方正仿宋_GBK" w:cs="Times New Roman"/>
          <w:b/>
          <w:bCs/>
          <w:color w:val="000000" w:themeColor="text1"/>
          <w:sz w:val="32"/>
          <w:szCs w:val="32"/>
          <w:lang w:val="en-US" w:eastAsia="zh-CN"/>
          <w14:textFill>
            <w14:solidFill>
              <w14:schemeClr w14:val="tx1"/>
            </w14:solidFill>
          </w14:textFill>
        </w:rPr>
        <w:t>（三）保险服务</w:t>
      </w:r>
    </w:p>
    <w:p>
      <w:pPr>
        <w:ind w:firstLine="640" w:firstLineChars="200"/>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1</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保险公司应提供专业的保险服务团队，包括风险评估、保险方案设计、理赔服务等。</w:t>
      </w:r>
    </w:p>
    <w:p>
      <w:pPr>
        <w:ind w:firstLine="640" w:firstLineChars="200"/>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2</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在保险期间内，保险公司应定期对项目进行风险巡查，及时发现并协助整改潜在风险隐患。</w:t>
      </w:r>
    </w:p>
    <w:p>
      <w:pPr>
        <w:ind w:firstLine="640" w:firstLineChars="200"/>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3</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对于保险理赔，应建立快速响应机制，确保在发生保险事故后能够及时受理报案、开展查勘定损工作，并按照</w:t>
      </w:r>
      <w:bookmarkStart w:id="0" w:name="_GoBack"/>
      <w:bookmarkEnd w:id="0"/>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合同约定及时支付赔款。</w:t>
      </w:r>
    </w:p>
    <w:p>
      <w:pPr>
        <w:rPr>
          <w:rFonts w:hint="eastAsia" w:ascii="仿宋_GB2312" w:hAnsi="仿宋_GB2312" w:eastAsia="仿宋_GB2312" w:cs="仿宋_GB2312"/>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auto"/>
    <w:pitch w:val="default"/>
    <w:sig w:usb0="00000000" w:usb1="00000000" w:usb2="00000000" w:usb3="00000000" w:csb0="00040000" w:csb1="00000000"/>
  </w:font>
  <w:font w:name="方正仿宋_GBK">
    <w:altName w:val="微软雅黑"/>
    <w:panose1 w:val="03000509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黑体_GBK">
    <w:altName w:val="微软雅黑"/>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1909F5"/>
    <w:rsid w:val="01DC5340"/>
    <w:rsid w:val="020B4698"/>
    <w:rsid w:val="034C0FB6"/>
    <w:rsid w:val="0D2569D0"/>
    <w:rsid w:val="115014D2"/>
    <w:rsid w:val="11553800"/>
    <w:rsid w:val="122F07E2"/>
    <w:rsid w:val="13371015"/>
    <w:rsid w:val="16734728"/>
    <w:rsid w:val="172B6DB1"/>
    <w:rsid w:val="20D65FDF"/>
    <w:rsid w:val="22DE3E15"/>
    <w:rsid w:val="26FC7E22"/>
    <w:rsid w:val="27397B59"/>
    <w:rsid w:val="31E3055C"/>
    <w:rsid w:val="333831B2"/>
    <w:rsid w:val="35675000"/>
    <w:rsid w:val="37435C4A"/>
    <w:rsid w:val="38A91FFA"/>
    <w:rsid w:val="39E27206"/>
    <w:rsid w:val="3A1909F5"/>
    <w:rsid w:val="46B8390E"/>
    <w:rsid w:val="4812704D"/>
    <w:rsid w:val="4F2064F4"/>
    <w:rsid w:val="58EF1D07"/>
    <w:rsid w:val="636A667F"/>
    <w:rsid w:val="67437056"/>
    <w:rsid w:val="69D34437"/>
    <w:rsid w:val="6E070B53"/>
    <w:rsid w:val="720E0799"/>
    <w:rsid w:val="74F636CF"/>
    <w:rsid w:val="7D0321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1570</Words>
  <Characters>1612</Characters>
  <Lines>0</Lines>
  <Paragraphs>0</Paragraphs>
  <TotalTime>267</TotalTime>
  <ScaleCrop>false</ScaleCrop>
  <LinksUpToDate>false</LinksUpToDate>
  <CharactersWithSpaces>1612</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2025-06-25T07:47:00Z</dcterms:created>
  <dc:creator> rocky stone</dc:creator>
  <cp:lastModifiedBy>chaiwofong</cp:lastModifiedBy>
  <cp:lastPrinted>2025-07-21T02:11:00Z</cp:lastPrinted>
  <dcterms:modified xsi:type="dcterms:W3CDTF">2025-07-23T02:07:30Z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y fmtid="{D5CDD505-2E9C-101B-9397-08002B2CF9AE}" pid="3" name="ICV">
    <vt:lpwstr>50915D0B964644738481BDEBFE488F19_13</vt:lpwstr>
  </property>
  <property fmtid="{D5CDD505-2E9C-101B-9397-08002B2CF9AE}" pid="4" name="KSOTemplateDocerSaveRecord">
    <vt:lpwstr>eyJoZGlkIjoiNGIxNmJkMTM0MDM0MjM3ZTA3NWEwZWQzYTNmMGM3ZjIiLCJ1c2VySWQiOiIyMzYxMzI5ODUifQ==</vt:lpwstr>
  </property>
</Properties>
</file>